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4"/>
          <w:szCs w:val="32"/>
          <w:lang w:val="en-US" w:eastAsia="zh-CN"/>
        </w:rPr>
      </w:pPr>
      <w:r>
        <w:rPr>
          <w:rFonts w:hint="eastAsia"/>
          <w:b/>
          <w:bCs/>
          <w:sz w:val="24"/>
          <w:szCs w:val="32"/>
          <w:lang w:val="en-US" w:eastAsia="zh-CN"/>
        </w:rPr>
        <w:t>附件一：高层次人才招聘信息</w:t>
      </w:r>
    </w:p>
    <w:p>
      <w:pPr>
        <w:rPr>
          <w:rFonts w:hint="eastAsia"/>
          <w:b/>
          <w:bCs/>
          <w:sz w:val="24"/>
          <w:szCs w:val="32"/>
          <w:lang w:val="en-US" w:eastAsia="zh-CN"/>
        </w:rPr>
      </w:pPr>
    </w:p>
    <w:tbl>
      <w:tblPr>
        <w:tblStyle w:val="3"/>
        <w:tblW w:w="9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0"/>
        <w:gridCol w:w="1901"/>
        <w:gridCol w:w="1361"/>
        <w:gridCol w:w="1050"/>
        <w:gridCol w:w="4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序号</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Style w:val="7"/>
                <w:lang w:val="en-US" w:eastAsia="zh-CN" w:bidi="ar"/>
              </w:rPr>
              <w:t>部门</w:t>
            </w:r>
            <w:r>
              <w:rPr>
                <w:rStyle w:val="8"/>
                <w:rFonts w:eastAsia="宋体"/>
                <w:lang w:val="en-US" w:eastAsia="zh-CN" w:bidi="ar"/>
              </w:rPr>
              <w:t>名称</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岗位名称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岗位类</w:t>
            </w:r>
            <w:r>
              <w:rPr>
                <w:rFonts w:hint="eastAsia" w:ascii="Arial" w:hAnsi="Arial" w:eastAsia="宋体" w:cs="Arial"/>
                <w:b/>
                <w:i w:val="0"/>
                <w:color w:val="000000"/>
                <w:kern w:val="0"/>
                <w:sz w:val="20"/>
                <w:szCs w:val="20"/>
                <w:u w:val="none"/>
                <w:lang w:val="en-US" w:eastAsia="zh-CN" w:bidi="ar"/>
              </w:rPr>
              <w:t>型</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01"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英语学院</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博士、正高级，55周岁以下，英语语言文学，英语国家研究、英美文学、语言学、翻译学，学术成果丰硕，独立主持过省部级以上科研项目，教学科研兼擅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1"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日本文化与经济学院</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副高级及以上，日语语言文学、理论与应用经济学、国际区域问题研究等；翻译学、日本文学、日本学（日本经济、日本文化、日本社会、日本政治与国际关系等），并在相关研究领域具有一定的学术造诣（以发表CSSCI核心期刊论文和获得国家级、省部级以上社科基金项目数量为主要考量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新闻传播学院</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博士，正高级，广播电视学、广告学、网络与新媒体，海外学习经历，有行业经历者优先，学科带头人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国际文化交流学院</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博士，副高级及以上，45周岁以下，现当代文学，如已有正高级职称，且为学科带头人者，可放宽至50周岁以下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国际金融贸易学院</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博士，正高级，金融学，保险学、国际金融、区域金融，拥有国家社科或自科项目，或在国内外专业权威期刊上发表2篇以上文章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81"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博士，副高级及以上，金融学，保险学、国际金融、区域金融，拥有国家社科或自科项目，或在国内外专业权威期刊上发表2篇以上文章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博士，正高级，国际贸易学，国际商务领域，拥有国家社科或自科项目，或在国内外专业权威期刊上发表2篇以上文章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博士，副高级及以上，国际贸易学，国际商务领域，拥有国家社科或自科项目，或在国内外专业权威期刊上发表2篇以上文章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博士，正高级，会计学，会计学领域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博士，副高级及以上，会计学，会计学领域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博士，正高级，应用经济学，产业经济学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博士，副高级及以上，应用经济学，产业经济学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博士，副高级及以上，统计学，经济统计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21"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国际工商管理学院（含MBA中心）</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博士，工商管理学科信息管理、经济金融及其他方向，认知神经科学与经济管理学交叉领域，具备申报青年千人、青年长江、优青等各类人才计划的潜力，或海外名校助理教授、博士后出站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81"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国际关系与公共事务学院</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正高级，50岁以下，比较政治学学科学术带头人；教学为重者，有省级以上的精品课程或教学成果奖；科研为重者，从事比较政治学、软实力研究、区域与国别研究，能够熟练撰写咨询报告，研究比较议会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61"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博士，副高级以上，45周岁以下，政治学、国际关系、公共管理等，有国外留学或工作经历，在SSCI或国内顶级专业杂志发表过论文；有相应的区域与国别研究经历或有全英文教学经历者优先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马克思主义学院</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博士，正高级，马克思主义中国化，党史党建方向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文学研究院</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博士，副高级，45周岁以下，波斯文学，正高级职称可适当放宽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博士，副高级，45周岁以下，土耳其文学，正高级职称可适当放宽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博士，副高级，45周岁以下，俄罗斯文学，正高级职称可适当放宽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41"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语言研究院</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bookmarkStart w:id="0" w:name="_GoBack"/>
            <w:bookmarkEnd w:id="0"/>
            <w:r>
              <w:rPr>
                <w:rFonts w:hint="eastAsia" w:ascii="宋体" w:hAnsi="宋体" w:eastAsia="宋体" w:cs="宋体"/>
                <w:color w:val="000000"/>
                <w:sz w:val="22"/>
                <w:szCs w:val="22"/>
                <w:lang w:val="en-US" w:eastAsia="zh-CN"/>
              </w:rPr>
              <w:t>博士，</w:t>
            </w:r>
            <w:r>
              <w:rPr>
                <w:rFonts w:hint="eastAsia" w:ascii="宋体" w:hAnsi="宋体" w:eastAsia="宋体" w:cs="宋体"/>
                <w:color w:val="000000"/>
                <w:sz w:val="22"/>
                <w:szCs w:val="22"/>
              </w:rPr>
              <w:t>在下列四个方向招聘在国内具有重要学术影响的领军人才和明显具有潜力的青年才俊：语言学本体研究、计算语言学、心理神经语言学、社会语言学与语言政策研究。具有交叉学科背景、国际学术背景、或获得过国家级科研项目的人员优先；科研条件、个人待遇从优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中东研究所</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博士，国际关系、国际政治、外交学，中东研究方向，有中东研究基础，熟练掌握英语，较熟练掌握中东研究对象国语言者优先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1"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博士，世界经济，西亚、北非经济研究方向，有世界经济专业基础，熟练掌握英语，从事过中东经济、能源研究者优先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全球文明史研究所</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博士-科研，世界中世纪史，中古伊斯兰世界研究，国际知名学者，特聘教授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博士-科研，世界古代史，古希腊罗马史研究，国内知名学者，兼职教授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博士-科研，世界古代史，古代东方史研究，国内知名学者，兼职教授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中阿改革发展研究中心</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博士-科研，副高级及以上，国际关系/阿拉伯语专业，中东/阿拉伯研究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9"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孔子学院海外高端翻译人才培训基地（挂靠孔子学院工作处）</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博士-科研，副高级及以上，45周岁以下，语言学/汉语国际教育，有独立承担科研项目的经验、能够参与项目的组织管理，有海外学习或工作经历的优先考虑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9"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29</w:t>
            </w:r>
          </w:p>
        </w:tc>
        <w:tc>
          <w:tcPr>
            <w:tcW w:w="19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国际教育学院</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高层次人才1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color w:val="000000"/>
                <w:kern w:val="0"/>
                <w:sz w:val="22"/>
              </w:rPr>
              <w:t>博士，45周岁以下，教育学相关学科背景，</w:t>
            </w:r>
            <w:r>
              <w:t>在线</w:t>
            </w:r>
            <w:r>
              <w:rPr>
                <w:rFonts w:hint="eastAsia"/>
              </w:rPr>
              <w:t>教育、</w:t>
            </w:r>
            <w:r>
              <w:t>信息化教育</w:t>
            </w:r>
            <w:r>
              <w:rPr>
                <w:rFonts w:hint="eastAsia"/>
              </w:rPr>
              <w:t>、教师培训与发展</w:t>
            </w:r>
            <w:r>
              <w:rPr>
                <w:rFonts w:hint="eastAsia"/>
                <w:lang w:eastAsia="zh-CN"/>
              </w:rPr>
              <w:t>，</w:t>
            </w:r>
            <w:r>
              <w:rPr>
                <w:rFonts w:hint="eastAsia" w:ascii="宋体" w:hAnsi="宋体" w:cs="宋体"/>
                <w:color w:val="000000"/>
                <w:kern w:val="0"/>
                <w:sz w:val="22"/>
              </w:rPr>
              <w:t>具有海外学习、教学或高水平研究团队工作的经验；学术成果丰硕（以SSCI\CSSCI论文发表数量、获得省部级以上的基金项目数量作为主要考量目标）；能够承担科研团队建设、开展国际研究合作的优先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9"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190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高层次人才2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高层次人才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color w:val="000000"/>
                <w:kern w:val="0"/>
                <w:sz w:val="22"/>
              </w:rPr>
              <w:t>博士，45周岁以下，副高级及以上，教育学相关学科背景，比较教育学方向，</w:t>
            </w:r>
            <w:r>
              <w:rPr>
                <w:rFonts w:hint="eastAsia"/>
              </w:rPr>
              <w:t>教育管理和教育宏观政策比较</w:t>
            </w:r>
            <w:r>
              <w:rPr>
                <w:rFonts w:hint="eastAsia"/>
                <w:lang w:eastAsia="zh-CN"/>
              </w:rPr>
              <w:t>、</w:t>
            </w:r>
            <w:r>
              <w:rPr>
                <w:rFonts w:hint="eastAsia"/>
              </w:rPr>
              <w:t>教育理论与思潮</w:t>
            </w:r>
            <w:r>
              <w:rPr>
                <w:rFonts w:hint="eastAsia"/>
                <w:lang w:eastAsia="zh-CN"/>
              </w:rPr>
              <w:t>，</w:t>
            </w:r>
            <w:r>
              <w:rPr>
                <w:rFonts w:hint="eastAsia" w:ascii="宋体" w:hAnsi="宋体" w:cs="宋体"/>
                <w:color w:val="000000"/>
                <w:kern w:val="0"/>
                <w:sz w:val="22"/>
              </w:rPr>
              <w:t>具有丰富的教学经验，在相关研究领域具有一定影响（以发表CSSCI核心期刊论文和获得国家级、省部级以上社科基金项目数量为主要考量指标）；能够承担学科带头人、引领团队建设的优先</w:t>
            </w:r>
          </w:p>
        </w:tc>
      </w:tr>
    </w:tbl>
    <w:p>
      <w:pPr>
        <w:rPr>
          <w:rFonts w:hint="eastAsia"/>
          <w:lang w:val="en-US" w:eastAsia="zh-CN"/>
        </w:rPr>
      </w:pPr>
    </w:p>
    <w:p>
      <w:pPr>
        <w:adjustRightInd w:val="0"/>
        <w:snapToGrid w:val="0"/>
        <w:spacing w:line="360" w:lineRule="auto"/>
        <w:ind w:firstLine="480" w:firstLineChars="200"/>
        <w:rPr>
          <w:rFonts w:hint="eastAsia"/>
          <w:b/>
          <w:bCs/>
          <w:lang w:val="en-US" w:eastAsia="zh-CN"/>
        </w:rPr>
      </w:pPr>
      <w:r>
        <w:rPr>
          <w:rFonts w:hint="eastAsia"/>
          <w:sz w:val="24"/>
          <w:szCs w:val="24"/>
        </w:rPr>
        <w:t>一经录用，</w:t>
      </w:r>
      <w:r>
        <w:rPr>
          <w:sz w:val="24"/>
          <w:szCs w:val="24"/>
        </w:rPr>
        <w:t>给予事业单位正式编制</w:t>
      </w:r>
      <w:r>
        <w:rPr>
          <w:rFonts w:hint="eastAsia"/>
          <w:sz w:val="24"/>
          <w:szCs w:val="24"/>
        </w:rPr>
        <w:t>，</w:t>
      </w:r>
      <w:r>
        <w:rPr>
          <w:sz w:val="24"/>
          <w:szCs w:val="24"/>
        </w:rPr>
        <w:t>提供具有竞争力的薪酬待遇、合理的科研启动经费</w:t>
      </w:r>
      <w:r>
        <w:rPr>
          <w:rFonts w:hint="eastAsia"/>
          <w:sz w:val="24"/>
          <w:szCs w:val="24"/>
        </w:rPr>
        <w:t>，</w:t>
      </w:r>
      <w:r>
        <w:rPr>
          <w:sz w:val="24"/>
          <w:szCs w:val="24"/>
        </w:rPr>
        <w:t>并</w:t>
      </w:r>
      <w:r>
        <w:rPr>
          <w:rFonts w:hint="eastAsia"/>
          <w:sz w:val="24"/>
          <w:szCs w:val="24"/>
        </w:rPr>
        <w:t>在国家</w:t>
      </w:r>
      <w:r>
        <w:rPr>
          <w:sz w:val="24"/>
          <w:szCs w:val="24"/>
        </w:rPr>
        <w:t>及</w:t>
      </w:r>
      <w:r>
        <w:rPr>
          <w:rFonts w:hint="eastAsia"/>
          <w:sz w:val="24"/>
          <w:szCs w:val="24"/>
        </w:rPr>
        <w:t>上海市</w:t>
      </w:r>
      <w:r>
        <w:rPr>
          <w:sz w:val="24"/>
          <w:szCs w:val="24"/>
        </w:rPr>
        <w:t>政策范围内协助办理落户、公租房等事宜</w:t>
      </w:r>
      <w:r>
        <w:rPr>
          <w:rFonts w:hint="eastAsia"/>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26B6F"/>
    <w:rsid w:val="08026B6F"/>
    <w:rsid w:val="0A7C15D8"/>
    <w:rsid w:val="18F144F9"/>
    <w:rsid w:val="1FB64DDD"/>
    <w:rsid w:val="318461C0"/>
    <w:rsid w:val="4A137D79"/>
    <w:rsid w:val="6D535020"/>
    <w:rsid w:val="77827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51"/>
    <w:basedOn w:val="2"/>
    <w:qFormat/>
    <w:uiPriority w:val="0"/>
    <w:rPr>
      <w:rFonts w:hint="eastAsia" w:ascii="宋体" w:hAnsi="宋体" w:eastAsia="宋体" w:cs="宋体"/>
      <w:b/>
      <w:color w:val="000000"/>
      <w:sz w:val="20"/>
      <w:szCs w:val="20"/>
      <w:u w:val="none"/>
    </w:rPr>
  </w:style>
  <w:style w:type="character" w:customStyle="1" w:styleId="5">
    <w:name w:val="font61"/>
    <w:basedOn w:val="2"/>
    <w:qFormat/>
    <w:uiPriority w:val="0"/>
    <w:rPr>
      <w:rFonts w:hint="default" w:ascii="Arial" w:hAnsi="Arial" w:cs="Arial"/>
      <w:b/>
      <w:color w:val="000000"/>
      <w:sz w:val="20"/>
      <w:szCs w:val="20"/>
      <w:u w:val="none"/>
    </w:rPr>
  </w:style>
  <w:style w:type="paragraph" w:customStyle="1" w:styleId="6">
    <w:name w:val="List Paragraph"/>
    <w:basedOn w:val="1"/>
    <w:qFormat/>
    <w:uiPriority w:val="34"/>
    <w:pPr>
      <w:ind w:firstLine="420" w:firstLineChars="200"/>
    </w:pPr>
  </w:style>
  <w:style w:type="character" w:customStyle="1" w:styleId="7">
    <w:name w:val="font21"/>
    <w:basedOn w:val="2"/>
    <w:uiPriority w:val="0"/>
    <w:rPr>
      <w:rFonts w:hint="eastAsia" w:ascii="宋体" w:hAnsi="宋体" w:eastAsia="宋体" w:cs="宋体"/>
      <w:b/>
      <w:color w:val="000000"/>
      <w:sz w:val="20"/>
      <w:szCs w:val="20"/>
      <w:u w:val="none"/>
    </w:rPr>
  </w:style>
  <w:style w:type="character" w:customStyle="1" w:styleId="8">
    <w:name w:val="font31"/>
    <w:basedOn w:val="2"/>
    <w:uiPriority w:val="0"/>
    <w:rPr>
      <w:rFonts w:hint="default" w:ascii="Arial" w:hAnsi="Arial" w:cs="Arial"/>
      <w:b/>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2018-08-03T10:35:00Z</dcterms:created>
  <dc:creator>HP</dc:creator>
  <cp:lastModifiedBy>侯昱纬</cp:lastModifiedBy>
  <dcterms:modified xsi:type="dcterms:W3CDTF">2019-03-04T14:04:43Z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